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Graphic Designer | [Your main kind of work, e.g. social media graphics, ads and decks]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[Country] | [Email] | [Mobile or WhatsApp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Portfolio: [Link to 8 to 12 pieces, e.g. Behance, Google Drive or your own site]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Available: [Days], [start time] to [end time] Manila time (GMT+8) | [Full-time or part-time, hours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SUMMARY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[Two or three sentences: your years of design work, the kind of brands (e.g. real estate, food, online shops), what you make most, and one result, like designs a week or rounds of revisions.]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SOFTWARE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Design: [e.g. Canva, Adobe Photoshop, Illustrator or Figma]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Video: [e.g. CapCut or Premiere Pro for basic edits, or delete this line]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Files: [e.g. Google Drive for brand templates and approved files]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listing, e.g. social media graphics, banners and ad creatives]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resizing one design for each platform and placement]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decks, one-pagers and print materials]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photo retouching and colour correction]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working from brand guidelines and templates]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SELECTED WORK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[Project, e.g. 30 Instagram posts a month for a property agency] | [link]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[Project, e.g. one ad in 4 sizes for a Facebook campaign] | [link]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[Project, e.g. 12-slide sales deck] | [link]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[Company, or the kind of client, e.g. real estate agency in Singapore]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made and how many, e.g. Designed about 25 social graphics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[A result, e.g. Most designs approved after one round of revisions]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[The software you used in this 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 or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[Course name]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processor, RAM and screen size]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English: [fluent or conversational]. [Other languages, e.g. Filipino: native]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